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FD" w:rsidRPr="00D50A8A" w:rsidRDefault="006F4D6C" w:rsidP="002565FD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Таблица </w:t>
      </w:r>
      <w:bookmarkStart w:id="0" w:name="_GoBack"/>
      <w:bookmarkEnd w:id="0"/>
      <w:r w:rsidR="002565FD" w:rsidRPr="00D50A8A">
        <w:rPr>
          <w:noProof/>
          <w:sz w:val="24"/>
          <w:szCs w:val="24"/>
        </w:rPr>
        <w:t xml:space="preserve">№ </w:t>
      </w:r>
      <w:r w:rsidR="00CF35D4">
        <w:rPr>
          <w:noProof/>
          <w:sz w:val="24"/>
          <w:szCs w:val="24"/>
        </w:rPr>
        <w:t>3</w:t>
      </w:r>
    </w:p>
    <w:p w:rsidR="002565FD" w:rsidRDefault="002565FD">
      <w:pPr>
        <w:jc w:val="center"/>
        <w:rPr>
          <w:noProof/>
        </w:rPr>
      </w:pPr>
    </w:p>
    <w:p w:rsidR="007E2A84" w:rsidRDefault="00A3670A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7E2A84" w:rsidRDefault="0021611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E2A84" w:rsidRDefault="0021611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E2A84" w:rsidRDefault="0021611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3670A">
        <w:rPr>
          <w:noProof/>
          <w:sz w:val="24"/>
          <w:lang w:val="en-US"/>
        </w:rPr>
        <w:t>01.07.2020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3670A">
        <w:rPr>
          <w:noProof/>
          <w:sz w:val="24"/>
          <w:lang w:val="en-US"/>
        </w:rPr>
        <w:t>30.09.2020</w:t>
      </w:r>
    </w:p>
    <w:p w:rsidR="007E2A84" w:rsidRDefault="007E2A84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3F7A60" w:rsidTr="003F7A60">
        <w:trPr>
          <w:cantSplit/>
          <w:trHeight w:val="677"/>
        </w:trPr>
        <w:tc>
          <w:tcPr>
            <w:tcW w:w="7513" w:type="dxa"/>
          </w:tcPr>
          <w:p w:rsidR="003F7A60" w:rsidRDefault="003F7A60">
            <w:pPr>
              <w:jc w:val="center"/>
              <w:rPr>
                <w:noProof/>
                <w:sz w:val="18"/>
                <w:lang w:val="en-US"/>
              </w:rPr>
            </w:pPr>
          </w:p>
          <w:p w:rsidR="003F7A60" w:rsidRDefault="003F7A6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3F7A60" w:rsidRDefault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3F7A60" w:rsidRDefault="003F7A60">
            <w:pPr>
              <w:jc w:val="center"/>
              <w:rPr>
                <w:noProof/>
                <w:sz w:val="18"/>
              </w:rPr>
            </w:pPr>
            <w:r w:rsidRPr="00DB2088">
              <w:rPr>
                <w:i/>
                <w:noProof/>
                <w:sz w:val="18"/>
              </w:rPr>
              <w:t>В процентах к общему числу поступивших обращений</w:t>
            </w:r>
          </w:p>
        </w:tc>
      </w:tr>
      <w:tr w:rsidR="003F7A60" w:rsidTr="003F7A60">
        <w:trPr>
          <w:cantSplit/>
        </w:trPr>
        <w:tc>
          <w:tcPr>
            <w:tcW w:w="7513" w:type="dxa"/>
          </w:tcPr>
          <w:p w:rsidR="003F7A60" w:rsidRPr="004871BB" w:rsidRDefault="003F7A60">
            <w:pPr>
              <w:jc w:val="center"/>
              <w:rPr>
                <w:i/>
                <w:noProof/>
                <w:sz w:val="18"/>
              </w:rPr>
            </w:pPr>
            <w:r w:rsidRPr="004871BB">
              <w:rPr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F7A60" w:rsidRPr="004871BB" w:rsidRDefault="003F7A60">
            <w:pPr>
              <w:jc w:val="center"/>
              <w:rPr>
                <w:i/>
                <w:noProof/>
                <w:sz w:val="18"/>
              </w:rPr>
            </w:pPr>
            <w:r w:rsidRPr="004871BB">
              <w:rPr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3F7A60" w:rsidRPr="004871BB" w:rsidRDefault="004871BB">
            <w:pPr>
              <w:jc w:val="center"/>
              <w:rPr>
                <w:i/>
                <w:noProof/>
                <w:sz w:val="18"/>
              </w:rPr>
            </w:pPr>
            <w:r w:rsidRPr="004871BB">
              <w:rPr>
                <w:i/>
                <w:noProof/>
                <w:sz w:val="18"/>
              </w:rPr>
              <w:t>3</w:t>
            </w:r>
          </w:p>
        </w:tc>
      </w:tr>
      <w:tr w:rsidR="003F7A60" w:rsidTr="003F7A60">
        <w:trPr>
          <w:cantSplit/>
        </w:trPr>
        <w:tc>
          <w:tcPr>
            <w:tcW w:w="7513" w:type="dxa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560" w:type="dxa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F7A60" w:rsidTr="003F7A60">
        <w:trPr>
          <w:cantSplit/>
        </w:trPr>
        <w:tc>
          <w:tcPr>
            <w:tcW w:w="7513" w:type="dxa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F7A60" w:rsidTr="003F7A60">
        <w:trPr>
          <w:cantSplit/>
        </w:trPr>
        <w:tc>
          <w:tcPr>
            <w:tcW w:w="7513" w:type="dxa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F7A60" w:rsidTr="003F7A60">
        <w:trPr>
          <w:cantSplit/>
        </w:trPr>
        <w:tc>
          <w:tcPr>
            <w:tcW w:w="7513" w:type="dxa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0001.0002.0024.0081 Проведение аттестации гражданских служащих</w:t>
            </w:r>
          </w:p>
        </w:tc>
        <w:tc>
          <w:tcPr>
            <w:tcW w:w="1560" w:type="dxa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F7A60" w:rsidTr="003F7A60">
        <w:trPr>
          <w:cantSplit/>
        </w:trPr>
        <w:tc>
          <w:tcPr>
            <w:tcW w:w="7513" w:type="dxa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F7A60" w:rsidTr="003F7A60">
        <w:trPr>
          <w:cantSplit/>
        </w:trPr>
        <w:tc>
          <w:tcPr>
            <w:tcW w:w="7513" w:type="dxa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60" w:type="dxa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3F7A60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3F7A60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F7A60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3F7A60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560" w:type="dxa"/>
            <w:shd w:val="clear" w:color="auto" w:fill="FFFFFF" w:themeFill="background1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3F7A60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F7A60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560" w:type="dxa"/>
            <w:shd w:val="clear" w:color="auto" w:fill="FFFFFF" w:themeFill="background1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F7A60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F7A60" w:rsidRDefault="003F7A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F7A60" w:rsidRDefault="003F7A6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3F7A60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 w:rsidP="00113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402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D27822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97291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EC5A3E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9,0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97291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97291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972910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10,5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9,7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230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11,5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364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18,2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40205B" w:rsidTr="00DC351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40205B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249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Default="0076425A" w:rsidP="003F7A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12,4</w:t>
            </w: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Default="0040205B">
            <w:pPr>
              <w:rPr>
                <w:noProof/>
                <w:sz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0205B" w:rsidRPr="003F7A60" w:rsidRDefault="0040205B" w:rsidP="003F7A60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0205B" w:rsidRPr="003F7A60" w:rsidRDefault="0040205B" w:rsidP="003F7A60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40205B" w:rsidTr="00DC351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0205B" w:rsidRPr="003F7A60" w:rsidRDefault="0040205B">
            <w:pPr>
              <w:rPr>
                <w:b/>
                <w:noProof/>
                <w:sz w:val="18"/>
              </w:rPr>
            </w:pPr>
            <w:r w:rsidRPr="003F7A6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Pr="003F7A60" w:rsidRDefault="0040205B" w:rsidP="003F7A60">
            <w:pPr>
              <w:jc w:val="center"/>
              <w:rPr>
                <w:b/>
                <w:noProof/>
                <w:sz w:val="18"/>
              </w:rPr>
            </w:pPr>
            <w:r w:rsidRPr="003F7A60">
              <w:rPr>
                <w:b/>
                <w:noProof/>
                <w:sz w:val="18"/>
              </w:rPr>
              <w:t>2004</w:t>
            </w:r>
          </w:p>
        </w:tc>
        <w:tc>
          <w:tcPr>
            <w:tcW w:w="1560" w:type="dxa"/>
            <w:shd w:val="clear" w:color="auto" w:fill="FFFFFF" w:themeFill="background1"/>
          </w:tcPr>
          <w:p w:rsidR="0040205B" w:rsidRPr="003F7A60" w:rsidRDefault="0040205B" w:rsidP="003F7A60">
            <w:pPr>
              <w:jc w:val="center"/>
              <w:rPr>
                <w:b/>
                <w:noProof/>
                <w:sz w:val="18"/>
              </w:rPr>
            </w:pPr>
            <w:r w:rsidRPr="003F7A60">
              <w:rPr>
                <w:b/>
                <w:noProof/>
                <w:sz w:val="18"/>
              </w:rPr>
              <w:t>100</w:t>
            </w:r>
          </w:p>
        </w:tc>
      </w:tr>
    </w:tbl>
    <w:p w:rsidR="007E2A84" w:rsidRDefault="007E2A84">
      <w:pPr>
        <w:rPr>
          <w:noProof/>
        </w:rPr>
      </w:pPr>
    </w:p>
    <w:sectPr w:rsidR="007E2A84" w:rsidSect="009865D2">
      <w:pgSz w:w="11907" w:h="16840" w:code="9"/>
      <w:pgMar w:top="284" w:right="1168" w:bottom="28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82" w:rsidRDefault="00373C82" w:rsidP="002565FD">
      <w:r>
        <w:separator/>
      </w:r>
    </w:p>
  </w:endnote>
  <w:endnote w:type="continuationSeparator" w:id="0">
    <w:p w:rsidR="00373C82" w:rsidRDefault="00373C82" w:rsidP="0025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82" w:rsidRDefault="00373C82" w:rsidP="002565FD">
      <w:r>
        <w:separator/>
      </w:r>
    </w:p>
  </w:footnote>
  <w:footnote w:type="continuationSeparator" w:id="0">
    <w:p w:rsidR="00373C82" w:rsidRDefault="00373C82" w:rsidP="0025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0A"/>
    <w:rsid w:val="001A3340"/>
    <w:rsid w:val="0021611C"/>
    <w:rsid w:val="002565FD"/>
    <w:rsid w:val="0028598C"/>
    <w:rsid w:val="002B5BFA"/>
    <w:rsid w:val="00373881"/>
    <w:rsid w:val="00373C82"/>
    <w:rsid w:val="003F7A60"/>
    <w:rsid w:val="0040205B"/>
    <w:rsid w:val="004871BB"/>
    <w:rsid w:val="004B03C0"/>
    <w:rsid w:val="004C19CF"/>
    <w:rsid w:val="00573AEE"/>
    <w:rsid w:val="0057659A"/>
    <w:rsid w:val="005A461B"/>
    <w:rsid w:val="006F4D6C"/>
    <w:rsid w:val="0076425A"/>
    <w:rsid w:val="007E2A84"/>
    <w:rsid w:val="00807090"/>
    <w:rsid w:val="008F31C2"/>
    <w:rsid w:val="00942C74"/>
    <w:rsid w:val="00953D86"/>
    <w:rsid w:val="0096126A"/>
    <w:rsid w:val="00972910"/>
    <w:rsid w:val="009865D2"/>
    <w:rsid w:val="00A3670A"/>
    <w:rsid w:val="00A72676"/>
    <w:rsid w:val="00A77913"/>
    <w:rsid w:val="00B20889"/>
    <w:rsid w:val="00B27164"/>
    <w:rsid w:val="00BC7723"/>
    <w:rsid w:val="00BD6BB5"/>
    <w:rsid w:val="00BE3B8C"/>
    <w:rsid w:val="00C26086"/>
    <w:rsid w:val="00C81B68"/>
    <w:rsid w:val="00CF0270"/>
    <w:rsid w:val="00CF35D4"/>
    <w:rsid w:val="00D15A57"/>
    <w:rsid w:val="00D27822"/>
    <w:rsid w:val="00D31264"/>
    <w:rsid w:val="00DC3514"/>
    <w:rsid w:val="00E45A37"/>
    <w:rsid w:val="00E96589"/>
    <w:rsid w:val="00EC0FDB"/>
    <w:rsid w:val="00EC5A3E"/>
    <w:rsid w:val="00F434E7"/>
    <w:rsid w:val="00F86D48"/>
    <w:rsid w:val="00F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65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65FD"/>
  </w:style>
  <w:style w:type="paragraph" w:styleId="a6">
    <w:name w:val="footer"/>
    <w:basedOn w:val="a"/>
    <w:link w:val="a7"/>
    <w:uiPriority w:val="99"/>
    <w:unhideWhenUsed/>
    <w:rsid w:val="002565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6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65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65FD"/>
  </w:style>
  <w:style w:type="paragraph" w:styleId="a6">
    <w:name w:val="footer"/>
    <w:basedOn w:val="a"/>
    <w:link w:val="a7"/>
    <w:uiPriority w:val="99"/>
    <w:unhideWhenUsed/>
    <w:rsid w:val="002565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391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133</cp:revision>
  <cp:lastPrinted>2020-10-07T13:42:00Z</cp:lastPrinted>
  <dcterms:created xsi:type="dcterms:W3CDTF">2020-10-07T07:02:00Z</dcterms:created>
  <dcterms:modified xsi:type="dcterms:W3CDTF">2020-10-29T09:32:00Z</dcterms:modified>
</cp:coreProperties>
</file>